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30944" w14:textId="77777777" w:rsidR="00DC3EFC" w:rsidRPr="000F4B88" w:rsidRDefault="00DC3EFC" w:rsidP="00DC3EFC">
      <w:pPr>
        <w:spacing w:after="160" w:line="259" w:lineRule="auto"/>
        <w:jc w:val="both"/>
      </w:pPr>
      <w:bookmarkStart w:id="0" w:name="OLE_LINK1"/>
    </w:p>
    <w:p w14:paraId="53577ED2" w14:textId="2C4048D0" w:rsidR="00DC3EFC" w:rsidRPr="000F4B88" w:rsidRDefault="00DC3EFC" w:rsidP="00DC3EFC">
      <w:pPr>
        <w:spacing w:after="160" w:line="259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0F4B88">
        <w:rPr>
          <w:rFonts w:ascii="Arial" w:hAnsi="Arial" w:cs="Arial"/>
          <w:b/>
          <w:bCs/>
          <w:sz w:val="24"/>
          <w:szCs w:val="24"/>
        </w:rPr>
        <w:t xml:space="preserve">REUNIÃO </w:t>
      </w:r>
      <w:r w:rsidR="00574D6F">
        <w:rPr>
          <w:rFonts w:ascii="Arial" w:hAnsi="Arial" w:cs="Arial"/>
          <w:b/>
          <w:bCs/>
          <w:sz w:val="24"/>
          <w:szCs w:val="24"/>
        </w:rPr>
        <w:t>EXTRAORDI</w:t>
      </w:r>
      <w:r w:rsidRPr="000F4B88">
        <w:rPr>
          <w:rFonts w:ascii="Arial" w:hAnsi="Arial" w:cs="Arial"/>
          <w:b/>
          <w:bCs/>
          <w:sz w:val="24"/>
          <w:szCs w:val="24"/>
        </w:rPr>
        <w:t>NÁRIA DO COMITÊ DE INVESTIMENTOS</w:t>
      </w:r>
    </w:p>
    <w:p w14:paraId="175795E8" w14:textId="77777777" w:rsidR="00DC3EFC" w:rsidRPr="00DC3EFC" w:rsidRDefault="00DC3EFC" w:rsidP="00DC3EFC">
      <w:pPr>
        <w:spacing w:after="160" w:line="259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3110428B" w14:textId="2F5891C9" w:rsidR="00DC3EFC" w:rsidRPr="00574D6F" w:rsidRDefault="00DC3EFC" w:rsidP="00574D6F">
      <w:pPr>
        <w:spacing w:after="160" w:line="259" w:lineRule="auto"/>
        <w:ind w:left="5387"/>
        <w:jc w:val="both"/>
        <w:rPr>
          <w:rFonts w:ascii="Arial" w:hAnsi="Arial" w:cs="Arial"/>
          <w:b/>
          <w:bCs/>
          <w:sz w:val="10"/>
          <w:szCs w:val="10"/>
        </w:rPr>
      </w:pPr>
      <w:r w:rsidRPr="00574D6F">
        <w:rPr>
          <w:rFonts w:ascii="Arial" w:hAnsi="Arial" w:cs="Arial"/>
          <w:b/>
          <w:bCs/>
          <w:sz w:val="24"/>
          <w:szCs w:val="24"/>
        </w:rPr>
        <w:t xml:space="preserve">Deliberação </w:t>
      </w:r>
      <w:r w:rsidR="00574D6F" w:rsidRPr="00574D6F">
        <w:rPr>
          <w:rFonts w:ascii="Arial" w:hAnsi="Arial" w:cs="Arial"/>
          <w:b/>
          <w:bCs/>
          <w:sz w:val="24"/>
          <w:szCs w:val="24"/>
        </w:rPr>
        <w:t xml:space="preserve">acerca da orientação de voto a ser proferida na Assembleia Geral Extraordinária do Fundo de Investimento Imobiliário </w:t>
      </w:r>
      <w:proofErr w:type="spellStart"/>
      <w:r w:rsidR="00574D6F" w:rsidRPr="00574D6F">
        <w:rPr>
          <w:rFonts w:ascii="Arial" w:hAnsi="Arial" w:cs="Arial"/>
          <w:b/>
          <w:bCs/>
          <w:sz w:val="24"/>
          <w:szCs w:val="24"/>
        </w:rPr>
        <w:t>Brazilian</w:t>
      </w:r>
      <w:proofErr w:type="spellEnd"/>
      <w:r w:rsidR="00574D6F" w:rsidRPr="00574D6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b/>
          <w:bCs/>
          <w:sz w:val="24"/>
          <w:szCs w:val="24"/>
        </w:rPr>
        <w:t>Graveyard</w:t>
      </w:r>
      <w:proofErr w:type="spellEnd"/>
      <w:r w:rsidR="00574D6F" w:rsidRPr="00574D6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b/>
          <w:bCs/>
          <w:sz w:val="24"/>
          <w:szCs w:val="24"/>
        </w:rPr>
        <w:t>and</w:t>
      </w:r>
      <w:proofErr w:type="spellEnd"/>
      <w:r w:rsidR="00574D6F" w:rsidRPr="00574D6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b/>
          <w:bCs/>
          <w:sz w:val="24"/>
          <w:szCs w:val="24"/>
        </w:rPr>
        <w:t>Death</w:t>
      </w:r>
      <w:proofErr w:type="spellEnd"/>
      <w:r w:rsidR="00574D6F" w:rsidRPr="00574D6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b/>
          <w:bCs/>
          <w:sz w:val="24"/>
          <w:szCs w:val="24"/>
        </w:rPr>
        <w:t>Care</w:t>
      </w:r>
      <w:proofErr w:type="spellEnd"/>
      <w:r w:rsidR="00574D6F" w:rsidRPr="00574D6F">
        <w:rPr>
          <w:rFonts w:ascii="Arial" w:hAnsi="Arial" w:cs="Arial"/>
          <w:b/>
          <w:bCs/>
          <w:sz w:val="24"/>
          <w:szCs w:val="24"/>
        </w:rPr>
        <w:t xml:space="preserve"> Services FII – CARE11</w:t>
      </w:r>
    </w:p>
    <w:p w14:paraId="5E52492F" w14:textId="532E19AA" w:rsidR="00DC3EFC" w:rsidRDefault="00DC3EFC" w:rsidP="0032335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4B88">
        <w:rPr>
          <w:rFonts w:ascii="Arial" w:hAnsi="Arial" w:cs="Arial"/>
          <w:sz w:val="24"/>
          <w:szCs w:val="24"/>
        </w:rPr>
        <w:t xml:space="preserve">Aos </w:t>
      </w:r>
      <w:r w:rsidR="00E14B77">
        <w:rPr>
          <w:rFonts w:ascii="Arial" w:hAnsi="Arial" w:cs="Arial"/>
          <w:sz w:val="24"/>
          <w:szCs w:val="24"/>
        </w:rPr>
        <w:t>vinte</w:t>
      </w:r>
      <w:r w:rsidRPr="000F4B88">
        <w:rPr>
          <w:rFonts w:ascii="Arial" w:hAnsi="Arial" w:cs="Arial"/>
          <w:sz w:val="24"/>
          <w:szCs w:val="24"/>
        </w:rPr>
        <w:t xml:space="preserve"> </w:t>
      </w:r>
      <w:r w:rsidRPr="00DC3EFC">
        <w:rPr>
          <w:rFonts w:ascii="Arial" w:hAnsi="Arial" w:cs="Arial"/>
          <w:sz w:val="24"/>
          <w:szCs w:val="24"/>
        </w:rPr>
        <w:t>(</w:t>
      </w:r>
      <w:r w:rsidR="00574D6F">
        <w:rPr>
          <w:rFonts w:ascii="Arial" w:hAnsi="Arial" w:cs="Arial"/>
          <w:sz w:val="24"/>
          <w:szCs w:val="24"/>
        </w:rPr>
        <w:t>20</w:t>
      </w:r>
      <w:r w:rsidRPr="00DC3EFC">
        <w:rPr>
          <w:rFonts w:ascii="Arial" w:hAnsi="Arial" w:cs="Arial"/>
          <w:sz w:val="24"/>
          <w:szCs w:val="24"/>
        </w:rPr>
        <w:t xml:space="preserve">) </w:t>
      </w:r>
      <w:r w:rsidRPr="000F4B88">
        <w:rPr>
          <w:rFonts w:ascii="Arial" w:hAnsi="Arial" w:cs="Arial"/>
          <w:sz w:val="24"/>
          <w:szCs w:val="24"/>
        </w:rPr>
        <w:t xml:space="preserve">dias do mês de </w:t>
      </w:r>
      <w:r w:rsidR="00574D6F">
        <w:rPr>
          <w:rFonts w:ascii="Arial" w:hAnsi="Arial" w:cs="Arial"/>
          <w:sz w:val="24"/>
          <w:szCs w:val="24"/>
        </w:rPr>
        <w:t>janeiro</w:t>
      </w:r>
      <w:r w:rsidRPr="000F4B88">
        <w:rPr>
          <w:rFonts w:ascii="Arial" w:hAnsi="Arial" w:cs="Arial"/>
          <w:sz w:val="24"/>
          <w:szCs w:val="24"/>
        </w:rPr>
        <w:t xml:space="preserve"> de dois mil e vinte e </w:t>
      </w:r>
      <w:r w:rsidR="00574D6F">
        <w:rPr>
          <w:rFonts w:ascii="Arial" w:hAnsi="Arial" w:cs="Arial"/>
          <w:sz w:val="24"/>
          <w:szCs w:val="24"/>
        </w:rPr>
        <w:t>seis</w:t>
      </w:r>
      <w:r w:rsidR="00A1698B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A1698B">
        <w:rPr>
          <w:rFonts w:ascii="Arial" w:hAnsi="Arial" w:cs="Arial"/>
          <w:sz w:val="24"/>
          <w:szCs w:val="24"/>
        </w:rPr>
        <w:t>às</w:t>
      </w:r>
      <w:proofErr w:type="gramEnd"/>
      <w:r w:rsidR="00A1698B">
        <w:rPr>
          <w:rFonts w:ascii="Arial" w:hAnsi="Arial" w:cs="Arial"/>
          <w:sz w:val="24"/>
          <w:szCs w:val="24"/>
        </w:rPr>
        <w:t xml:space="preserve"> quatorze</w:t>
      </w:r>
      <w:bookmarkStart w:id="1" w:name="_GoBack"/>
      <w:bookmarkEnd w:id="1"/>
      <w:r w:rsidRPr="00DC3EFC">
        <w:rPr>
          <w:rFonts w:ascii="Arial" w:hAnsi="Arial" w:cs="Arial"/>
          <w:sz w:val="24"/>
          <w:szCs w:val="24"/>
        </w:rPr>
        <w:t xml:space="preserve"> (1</w:t>
      </w:r>
      <w:r w:rsidR="00574D6F">
        <w:rPr>
          <w:rFonts w:ascii="Arial" w:hAnsi="Arial" w:cs="Arial"/>
          <w:sz w:val="24"/>
          <w:szCs w:val="24"/>
        </w:rPr>
        <w:t>4</w:t>
      </w:r>
      <w:r w:rsidRPr="00DC3EFC">
        <w:rPr>
          <w:rFonts w:ascii="Arial" w:hAnsi="Arial" w:cs="Arial"/>
          <w:sz w:val="24"/>
          <w:szCs w:val="24"/>
        </w:rPr>
        <w:t>)</w:t>
      </w:r>
      <w:r w:rsidRPr="000F4B88">
        <w:rPr>
          <w:rFonts w:ascii="Arial" w:hAnsi="Arial" w:cs="Arial"/>
          <w:sz w:val="24"/>
          <w:szCs w:val="24"/>
        </w:rPr>
        <w:t xml:space="preserve"> horas, na sede do Instituto de Previdência dos Servidores Públicos do Município de Guanhães – </w:t>
      </w:r>
      <w:proofErr w:type="spellStart"/>
      <w:r w:rsidRPr="000F4B88">
        <w:rPr>
          <w:rFonts w:ascii="Arial" w:hAnsi="Arial" w:cs="Arial"/>
          <w:sz w:val="24"/>
          <w:szCs w:val="24"/>
        </w:rPr>
        <w:t>GuanhãesPrev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, situada na Rua Monsenhor Pinheiro, nº 101, Centro, Guanhães/MG, reuniu-se o Comitê de Investimentos, com a presença de Cláudia Aparecida Monteiro dos Santos, Daniel Fernando da Silva, </w:t>
      </w:r>
      <w:proofErr w:type="spellStart"/>
      <w:r w:rsidRPr="000F4B88">
        <w:rPr>
          <w:rFonts w:ascii="Arial" w:hAnsi="Arial" w:cs="Arial"/>
          <w:sz w:val="24"/>
          <w:szCs w:val="24"/>
        </w:rPr>
        <w:t>Francielle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4B88">
        <w:rPr>
          <w:rFonts w:ascii="Arial" w:hAnsi="Arial" w:cs="Arial"/>
          <w:sz w:val="24"/>
          <w:szCs w:val="24"/>
        </w:rPr>
        <w:t>Elgita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 de Oliveira Costa, e </w:t>
      </w:r>
      <w:proofErr w:type="spellStart"/>
      <w:r w:rsidRPr="000F4B88">
        <w:rPr>
          <w:rFonts w:ascii="Arial" w:hAnsi="Arial" w:cs="Arial"/>
          <w:sz w:val="24"/>
          <w:szCs w:val="24"/>
        </w:rPr>
        <w:t>Rosimery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 Aparecida Inácio de Pinho Procópio,</w:t>
      </w:r>
      <w:r w:rsidR="00574D6F" w:rsidRPr="00574D6F">
        <w:rPr>
          <w:rFonts w:ascii="Arial" w:hAnsi="Arial" w:cs="Arial"/>
          <w:sz w:val="24"/>
          <w:szCs w:val="24"/>
        </w:rPr>
        <w:t xml:space="preserve"> para deliberar acerca da orientação de voto a ser proferida na Assembleia Geral Extraordinária do Fundo de Investimento Imobiliário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Brazilian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Graveyard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and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Death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Care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Services FII – CARE11, cuja ordem do dia contempla, entre outras matérias, a substituição da administradora fiduciária, o grupamento de cotas, a autorização para recompra de cotas e a outorga de poderes para a prática dos atos decorrentes das deliberações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assembleares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>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Aberta a reunião, foi inicialmente registrado que a matéria em análise se reveste de elevada complexidade técnica, jurídica e regulatória, tendo em vista o histórico do fundo, a significativa desvalorização das cotas desde sua constituição, a ausência de distribuição de resultados compatíveis com as expectativas iniciais, bem como o contexto institucional atualmente </w:t>
      </w:r>
      <w:proofErr w:type="gramStart"/>
      <w:r w:rsidR="00574D6F" w:rsidRPr="00574D6F">
        <w:rPr>
          <w:rFonts w:ascii="Arial" w:hAnsi="Arial" w:cs="Arial"/>
          <w:sz w:val="24"/>
          <w:szCs w:val="24"/>
        </w:rPr>
        <w:t>enfrentado pelo administrador e demais agentes ligados ao fundo</w:t>
      </w:r>
      <w:proofErr w:type="gramEnd"/>
      <w:r w:rsidR="00574D6F" w:rsidRPr="00574D6F">
        <w:rPr>
          <w:rFonts w:ascii="Arial" w:hAnsi="Arial" w:cs="Arial"/>
          <w:sz w:val="24"/>
          <w:szCs w:val="24"/>
        </w:rPr>
        <w:t>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>Foi consignado que o Comitê recebeu e analisou diversos pareceres técnicos de consultorias especializadas, os quais apresentaram conclusões divergentes entre si, não havendo consenso quanto à orientação de voto. Algumas consultorias recomendaram a aprovação parcial das pautas, outras a aprovação integral, outras ainda a reprovação de determinadas matérias específicas, enquanto houve parecer recomendando a reprovação integral. Tal divergência, por si só, foi considerada elemento relevante para demonstrar a ausência de segurança técnica suficiente para uma deliberação favorável às propostas apresentadas.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Destacou-se, ainda, que os pareceres técnicos recebidos reconhecem expressamente a existência de conflito de interesses potencial e/ou efetivo envolvendo a proposta de substituição da administradora, considerando a atuação da instituição indicada em segmentos econômicos diretamente relacionados aos ativos integrantes do fundo, bem como sua vinculação histórica e operacional com estruturas empresariais ligadas à origem do CARE11. Tal circunstância, embora relativizada por </w:t>
      </w:r>
      <w:r w:rsidR="00574D6F">
        <w:rPr>
          <w:rFonts w:ascii="Arial" w:hAnsi="Arial" w:cs="Arial"/>
          <w:sz w:val="24"/>
          <w:szCs w:val="24"/>
        </w:rPr>
        <w:t>nossa Consultoria</w:t>
      </w:r>
      <w:r w:rsidR="00574D6F" w:rsidRPr="00574D6F">
        <w:rPr>
          <w:rFonts w:ascii="Arial" w:hAnsi="Arial" w:cs="Arial"/>
          <w:sz w:val="24"/>
          <w:szCs w:val="24"/>
        </w:rPr>
        <w:t xml:space="preserve"> em razão da experiência operacional da instituição indicada, foi considerada pelo</w:t>
      </w:r>
      <w:r w:rsidR="00574D6F">
        <w:rPr>
          <w:rFonts w:ascii="Arial" w:hAnsi="Arial" w:cs="Arial"/>
          <w:sz w:val="24"/>
          <w:szCs w:val="24"/>
        </w:rPr>
        <w:t xml:space="preserve">s membros do Comitê </w:t>
      </w:r>
      <w:r w:rsidR="00574D6F" w:rsidRPr="00574D6F">
        <w:rPr>
          <w:rFonts w:ascii="Arial" w:hAnsi="Arial" w:cs="Arial"/>
          <w:sz w:val="24"/>
          <w:szCs w:val="24"/>
        </w:rPr>
        <w:t xml:space="preserve">como incompatível com o dever de prudência exigido de um RPPS, especialmente em </w:t>
      </w:r>
      <w:r w:rsidR="00574D6F" w:rsidRPr="00574D6F">
        <w:rPr>
          <w:rFonts w:ascii="Arial" w:hAnsi="Arial" w:cs="Arial"/>
          <w:sz w:val="24"/>
          <w:szCs w:val="24"/>
        </w:rPr>
        <w:lastRenderedPageBreak/>
        <w:t>cenário de crise.</w:t>
      </w:r>
      <w:r w:rsidR="00594F05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>Foi amplamente debatido o fato de que a atual administradora, Master Corretora de Valores Mobiliários, encontra-se em liquidação extrajudicial decretada pelo Banco Central do Brasil, situação que, nos termos da legislação aplicável, retira sua autonomia para a prática de atos de gestão ordinária e extraordinária, inclusive para convocação de assembleias, salvo nas hipóteses estritamente autorizadas pelo liquidante e dentro dos prazos legais. Foi registrado que, segundo as informações disponíveis, o prazo legal para indicação de novo administrador já teria sido ultrapassado, o que lança dúvidas relevantes sobre a legalidade da convocação da assembleia e da própria condução do processo de substituição administrativa.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Nesse contexto, foi trazida ao conhecimento do colegiado </w:t>
      </w:r>
      <w:r w:rsidR="00574D6F">
        <w:rPr>
          <w:rFonts w:ascii="Arial" w:hAnsi="Arial" w:cs="Arial"/>
          <w:sz w:val="24"/>
          <w:szCs w:val="24"/>
        </w:rPr>
        <w:t xml:space="preserve">a </w:t>
      </w:r>
      <w:r w:rsidR="00574D6F" w:rsidRPr="00574D6F">
        <w:rPr>
          <w:rFonts w:ascii="Arial" w:hAnsi="Arial" w:cs="Arial"/>
          <w:sz w:val="24"/>
          <w:szCs w:val="24"/>
        </w:rPr>
        <w:t xml:space="preserve">decisão liminar proferida pelo Poder Judiciário do Estado de São Paulo, em ação ajuizada por RPPS do Município de Colombo/PR, a qual reconheceu, em sede de cognição sumária, a ilegitimidade da convocação da assembleia, bem como a ausência de legitimidade da instituição indicada como nova administradora para promover tal convocação, além de determinar a suspensão dos efeitos das deliberações eventualmente aprovadas. A decisão judicial foi analisada </w:t>
      </w:r>
      <w:r w:rsidR="00574D6F">
        <w:rPr>
          <w:rFonts w:ascii="Arial" w:hAnsi="Arial" w:cs="Arial"/>
          <w:sz w:val="24"/>
          <w:szCs w:val="24"/>
        </w:rPr>
        <w:t>por um membro do Conselho Deliberativo</w:t>
      </w:r>
      <w:r w:rsidR="00574D6F" w:rsidRPr="00574D6F">
        <w:rPr>
          <w:rFonts w:ascii="Arial" w:hAnsi="Arial" w:cs="Arial"/>
          <w:sz w:val="24"/>
          <w:szCs w:val="24"/>
        </w:rPr>
        <w:t xml:space="preserve"> do Instituto</w:t>
      </w:r>
      <w:r w:rsidR="00574D6F">
        <w:rPr>
          <w:rFonts w:ascii="Arial" w:hAnsi="Arial" w:cs="Arial"/>
          <w:sz w:val="24"/>
          <w:szCs w:val="24"/>
        </w:rPr>
        <w:t>, que tem formação acadêmica em Direito,</w:t>
      </w:r>
      <w:r w:rsidR="00574D6F" w:rsidRPr="00574D6F">
        <w:rPr>
          <w:rFonts w:ascii="Arial" w:hAnsi="Arial" w:cs="Arial"/>
          <w:sz w:val="24"/>
          <w:szCs w:val="24"/>
        </w:rPr>
        <w:t xml:space="preserve"> e considerada robusta, bem fundamentada e alinhada às preocupações já manifestadas por este colegiado, reforçando a compreensão de que eventual aprovação das pautas poderia implicar convalidação de atos potencialmente nulos.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Foi igualmente ponderado que a Resolução CMN nº 5.272/2025, com vigência prevista para 1º de fevereiro de 2026, estabelece novos e mais rigorosos critérios de elegibilidade para administradores e gestores de recursos de RPPS, restringindo a atuação às instituições enquadradas nos segmentos prudenciais S1 ou S2. Nesse cenário, foi registrado que nem a atual administradora, nem a instituição indicada como substituta, atendem aos requisitos estabelecidos, o que expõe o Instituto ao risco concreto de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desenquadramento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regulatório, com potenciais repercussões junto à Secretaria de Previdência, Tribunais de Contas e demais órgãos de controle.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>O colegiado destacou que, diferentemente de situações pretéritas, nas quais determinadas decisões foram tomadas em contexto regulatório diverso, a aprovação das pautas ora submetidas criaria um novo fato gerador de irregularidade, o que não pode ser admitido sob a ótica da responsabilidade fiduciária e da proteção do interesse dos segurados e beneficiários do regime.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>Foi debatida, ainda, a proposta de grupamento de cotas, reconhecendo-se que, sob o ponto de vista estritamente matemático, tal operação não altera o valor patrimonial do investimento. Todavia, considerando o histórico do fundo, a percepção negativa do mercado, a ausência de liquidez e, sobretudo, o objetivo coletivo manifestado por diversos RPPS de buscar a liquidação do fundo como alternativa para recuperação patrimonial mais justa</w:t>
      </w:r>
      <w:proofErr w:type="gramStart"/>
      <w:r w:rsidR="00574D6F" w:rsidRPr="00574D6F">
        <w:rPr>
          <w:rFonts w:ascii="Arial" w:hAnsi="Arial" w:cs="Arial"/>
          <w:sz w:val="24"/>
          <w:szCs w:val="24"/>
        </w:rPr>
        <w:t>, entendeu-se</w:t>
      </w:r>
      <w:proofErr w:type="gramEnd"/>
      <w:r w:rsidR="00574D6F" w:rsidRPr="00574D6F">
        <w:rPr>
          <w:rFonts w:ascii="Arial" w:hAnsi="Arial" w:cs="Arial"/>
          <w:sz w:val="24"/>
          <w:szCs w:val="24"/>
        </w:rPr>
        <w:t xml:space="preserve"> que a aprovação do grupamento poderia desviar o foco da solução estrutural do problema, sem trazer benefícios concretos ao Instituto.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No tocante à proposta de recompra de cotas, restou consignado que o colegiado a considera incompatível com a atual situação financeira, operacional e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reputacional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do fundo, além de potencialmente prejudicial aos interesses dos cotistas institucionais, especialmente diante da inexistência de garantia de recursos suficientes e da assimetria de informações entre cotistas institucionais e investidores pessoas físicas.</w:t>
      </w:r>
      <w:r w:rsidR="00574D6F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Foi registrado, </w:t>
      </w:r>
      <w:r w:rsidR="00574D6F" w:rsidRPr="00574D6F">
        <w:rPr>
          <w:rFonts w:ascii="Arial" w:hAnsi="Arial" w:cs="Arial"/>
          <w:sz w:val="24"/>
          <w:szCs w:val="24"/>
        </w:rPr>
        <w:lastRenderedPageBreak/>
        <w:t>por fim, que a decisão do colegiado levou em consideração o posicionamento majoritário dos RPPS cotistas, muitos dos quais manifestaram a intenção de reprovar as pautas, bem como o entendimento de que a liquidação do fundo, ainda que complexa, pode representar alternativa mais adequada para proteção do patrimônio investido, na medida em que possibilitaria a apuração de valores com base no patrimônio efetivo dos ativos, e não no valor depreciado das cotas negociadas em mercado secundário.</w:t>
      </w:r>
      <w:r w:rsidR="00323358">
        <w:rPr>
          <w:rFonts w:ascii="Arial" w:hAnsi="Arial" w:cs="Arial"/>
          <w:sz w:val="24"/>
          <w:szCs w:val="24"/>
        </w:rPr>
        <w:t xml:space="preserve"> </w:t>
      </w:r>
      <w:r w:rsidR="00574D6F" w:rsidRPr="00574D6F">
        <w:rPr>
          <w:rFonts w:ascii="Arial" w:hAnsi="Arial" w:cs="Arial"/>
          <w:sz w:val="24"/>
          <w:szCs w:val="24"/>
        </w:rPr>
        <w:t xml:space="preserve">Diante de todo o exposto, considerando a ausência de segurança jurídica, administrativa e regulatória, a divergência relevante entre pareceres técnicos, </w:t>
      </w:r>
      <w:proofErr w:type="gramStart"/>
      <w:r w:rsidR="00574D6F" w:rsidRPr="00574D6F">
        <w:rPr>
          <w:rFonts w:ascii="Arial" w:hAnsi="Arial" w:cs="Arial"/>
          <w:sz w:val="24"/>
          <w:szCs w:val="24"/>
        </w:rPr>
        <w:t>a</w:t>
      </w:r>
      <w:proofErr w:type="gramEnd"/>
      <w:r w:rsidR="00574D6F" w:rsidRPr="00574D6F">
        <w:rPr>
          <w:rFonts w:ascii="Arial" w:hAnsi="Arial" w:cs="Arial"/>
          <w:sz w:val="24"/>
          <w:szCs w:val="24"/>
        </w:rPr>
        <w:t xml:space="preserve"> existência de decisão judicial liminar reconhecendo</w:t>
      </w:r>
      <w:r w:rsidR="00323358">
        <w:rPr>
          <w:rFonts w:ascii="Arial" w:hAnsi="Arial" w:cs="Arial"/>
          <w:sz w:val="24"/>
          <w:szCs w:val="24"/>
        </w:rPr>
        <w:t xml:space="preserve"> possíveis</w:t>
      </w:r>
      <w:r w:rsidR="00574D6F" w:rsidRPr="00574D6F">
        <w:rPr>
          <w:rFonts w:ascii="Arial" w:hAnsi="Arial" w:cs="Arial"/>
          <w:sz w:val="24"/>
          <w:szCs w:val="24"/>
        </w:rPr>
        <w:t xml:space="preserve"> ilegalidades no processo, o risco de </w:t>
      </w:r>
      <w:proofErr w:type="spellStart"/>
      <w:r w:rsidR="00574D6F" w:rsidRPr="00574D6F">
        <w:rPr>
          <w:rFonts w:ascii="Arial" w:hAnsi="Arial" w:cs="Arial"/>
          <w:sz w:val="24"/>
          <w:szCs w:val="24"/>
        </w:rPr>
        <w:t>desenquadramento</w:t>
      </w:r>
      <w:proofErr w:type="spellEnd"/>
      <w:r w:rsidR="00574D6F" w:rsidRPr="00574D6F">
        <w:rPr>
          <w:rFonts w:ascii="Arial" w:hAnsi="Arial" w:cs="Arial"/>
          <w:sz w:val="24"/>
          <w:szCs w:val="24"/>
        </w:rPr>
        <w:t xml:space="preserve"> normativo, os potenciais conflitos de interesse e o dever fiduciário de agir com máxima prudência, o Comitê de Investimentos deliberou, de forma consciente, fundamentada e colegiada, pela REPROVAÇÃO INTEGRAL DE TODAS AS PAUTAS submetidas à Assembleia Geral Extraordinária do Fundo CARE11, determinando que esta ata, juntamente com os pareceres técnicos analisados e a decisão judicial mencionada, integre o conjunto documental de justificativa da decisão, para fins de controle, fiscalização e eventual prestação de esclarecimentos futuros.</w:t>
      </w:r>
      <w:r w:rsidR="00323358">
        <w:rPr>
          <w:rFonts w:ascii="Arial" w:hAnsi="Arial" w:cs="Arial"/>
          <w:sz w:val="24"/>
          <w:szCs w:val="24"/>
        </w:rPr>
        <w:t xml:space="preserve"> </w:t>
      </w:r>
      <w:r w:rsidRPr="000F4B88">
        <w:rPr>
          <w:rFonts w:ascii="Arial" w:hAnsi="Arial" w:cs="Arial"/>
          <w:sz w:val="24"/>
          <w:szCs w:val="24"/>
        </w:rPr>
        <w:t xml:space="preserve">Nada mais havendo a tratar, a Presidente </w:t>
      </w:r>
      <w:proofErr w:type="spellStart"/>
      <w:r w:rsidRPr="000F4B88">
        <w:rPr>
          <w:rFonts w:ascii="Arial" w:hAnsi="Arial" w:cs="Arial"/>
          <w:sz w:val="24"/>
          <w:szCs w:val="24"/>
        </w:rPr>
        <w:t>Francielle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4B88">
        <w:rPr>
          <w:rFonts w:ascii="Arial" w:hAnsi="Arial" w:cs="Arial"/>
          <w:sz w:val="24"/>
          <w:szCs w:val="24"/>
        </w:rPr>
        <w:t>Elgita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 de Oliveira Costa agradeceu a participação de todos e encerrou a reunião. Eu, </w:t>
      </w:r>
      <w:proofErr w:type="spellStart"/>
      <w:r w:rsidRPr="000F4B88">
        <w:rPr>
          <w:rFonts w:ascii="Arial" w:hAnsi="Arial" w:cs="Arial"/>
          <w:sz w:val="24"/>
          <w:szCs w:val="24"/>
        </w:rPr>
        <w:t>Rosimery</w:t>
      </w:r>
      <w:proofErr w:type="spellEnd"/>
      <w:r w:rsidRPr="000F4B88">
        <w:rPr>
          <w:rFonts w:ascii="Arial" w:hAnsi="Arial" w:cs="Arial"/>
          <w:sz w:val="24"/>
          <w:szCs w:val="24"/>
        </w:rPr>
        <w:t xml:space="preserve"> Aparecida Inácio de Pinho Procópio, ______________, secretária do Comitê de Investimentos, lavrei a presente ata, que, lida e aprovada, será assinada pelos membros presentes.</w:t>
      </w:r>
      <w:r w:rsidRPr="00DC3EF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F4B88">
        <w:rPr>
          <w:rFonts w:ascii="Arial" w:hAnsi="Arial" w:cs="Arial"/>
          <w:sz w:val="24"/>
          <w:szCs w:val="24"/>
        </w:rPr>
        <w:t>Guanhães,</w:t>
      </w:r>
      <w:proofErr w:type="gramEnd"/>
      <w:r w:rsidR="00323358">
        <w:rPr>
          <w:rFonts w:ascii="Arial" w:hAnsi="Arial" w:cs="Arial"/>
          <w:sz w:val="24"/>
          <w:szCs w:val="24"/>
        </w:rPr>
        <w:t>20</w:t>
      </w:r>
      <w:r w:rsidR="00921A1C">
        <w:rPr>
          <w:rFonts w:ascii="Arial" w:hAnsi="Arial" w:cs="Arial"/>
          <w:sz w:val="24"/>
          <w:szCs w:val="24"/>
        </w:rPr>
        <w:t xml:space="preserve"> de janeiro de 2026.</w:t>
      </w:r>
    </w:p>
    <w:p w14:paraId="0BDBBA28" w14:textId="77777777" w:rsidR="00323358" w:rsidRPr="00323358" w:rsidRDefault="00323358" w:rsidP="0032335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AE24F87" w14:textId="77777777" w:rsidR="00A8590F" w:rsidRDefault="00A8590F" w:rsidP="00DC3EFC">
      <w:pPr>
        <w:spacing w:after="160" w:line="259" w:lineRule="auto"/>
        <w:jc w:val="both"/>
        <w:rPr>
          <w:rFonts w:ascii="Arial" w:hAnsi="Arial" w:cs="Arial"/>
          <w:sz w:val="10"/>
          <w:szCs w:val="10"/>
        </w:rPr>
      </w:pPr>
    </w:p>
    <w:p w14:paraId="0BCA64ED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DC3EFC">
        <w:rPr>
          <w:rFonts w:ascii="Arial" w:hAnsi="Arial" w:cs="Arial"/>
          <w:sz w:val="24"/>
          <w:szCs w:val="24"/>
          <w:lang w:val="pt-BR"/>
        </w:rPr>
        <w:t xml:space="preserve">   </w:t>
      </w:r>
      <w:proofErr w:type="spellStart"/>
      <w:r w:rsidRPr="00DC3EFC">
        <w:rPr>
          <w:rFonts w:ascii="Arial" w:hAnsi="Arial" w:cs="Arial"/>
          <w:sz w:val="24"/>
          <w:szCs w:val="24"/>
          <w:lang w:val="pt-BR"/>
        </w:rPr>
        <w:t>Francielle</w:t>
      </w:r>
      <w:proofErr w:type="spellEnd"/>
      <w:r w:rsidRPr="00DC3EFC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Pr="00DC3EFC">
        <w:rPr>
          <w:rFonts w:ascii="Arial" w:hAnsi="Arial" w:cs="Arial"/>
          <w:sz w:val="24"/>
          <w:szCs w:val="24"/>
          <w:lang w:val="pt-BR"/>
        </w:rPr>
        <w:t>Elgita</w:t>
      </w:r>
      <w:proofErr w:type="spellEnd"/>
      <w:r w:rsidRPr="00DC3EFC">
        <w:rPr>
          <w:rFonts w:ascii="Arial" w:hAnsi="Arial" w:cs="Arial"/>
          <w:sz w:val="24"/>
          <w:szCs w:val="24"/>
          <w:lang w:val="pt-BR"/>
        </w:rPr>
        <w:t xml:space="preserve"> de Oliveira Costa                    </w:t>
      </w:r>
      <w:proofErr w:type="spellStart"/>
      <w:r w:rsidRPr="00DC3EFC">
        <w:rPr>
          <w:rFonts w:ascii="Arial" w:hAnsi="Arial" w:cs="Arial"/>
          <w:sz w:val="24"/>
          <w:szCs w:val="24"/>
          <w:lang w:val="pt-BR"/>
        </w:rPr>
        <w:t>Rosimery</w:t>
      </w:r>
      <w:proofErr w:type="spellEnd"/>
      <w:r w:rsidRPr="00DC3EFC">
        <w:rPr>
          <w:rFonts w:ascii="Arial" w:hAnsi="Arial" w:cs="Arial"/>
          <w:sz w:val="24"/>
          <w:szCs w:val="24"/>
          <w:lang w:val="pt-BR"/>
        </w:rPr>
        <w:t xml:space="preserve"> Ap. Inácio de Pinho Procópio</w:t>
      </w:r>
      <w:proofErr w:type="gramStart"/>
      <w:r w:rsidRPr="00DC3EFC">
        <w:rPr>
          <w:rFonts w:ascii="Arial" w:hAnsi="Arial" w:cs="Arial"/>
          <w:sz w:val="24"/>
          <w:szCs w:val="24"/>
          <w:lang w:val="pt-BR"/>
        </w:rPr>
        <w:t xml:space="preserve">  </w:t>
      </w:r>
    </w:p>
    <w:p w14:paraId="6E8E8EA5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  <w:proofErr w:type="gramEnd"/>
      <w:r w:rsidRPr="00DC3EFC">
        <w:rPr>
          <w:rFonts w:ascii="Arial" w:hAnsi="Arial" w:cs="Arial"/>
          <w:sz w:val="24"/>
          <w:szCs w:val="24"/>
          <w:lang w:val="pt-BR"/>
        </w:rPr>
        <w:t>Presidente do Comitê/Gestor Recursos</w:t>
      </w:r>
      <w:r w:rsidRPr="00DC3EFC">
        <w:rPr>
          <w:rFonts w:ascii="Arial" w:hAnsi="Arial" w:cs="Arial"/>
          <w:sz w:val="24"/>
          <w:szCs w:val="24"/>
          <w:lang w:val="pt-BR"/>
        </w:rPr>
        <w:tab/>
        <w:t xml:space="preserve">                                  Secretária</w:t>
      </w:r>
    </w:p>
    <w:p w14:paraId="6E0332C5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DC3EFC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0BBF9FE3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516585BB" w14:textId="77777777" w:rsidR="00DC3EFC" w:rsidRPr="00DC3EFC" w:rsidRDefault="00DC3EFC" w:rsidP="00DC3EFC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  <w:r w:rsidRPr="00DC3EFC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3EC82E9A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DC3EFC">
        <w:rPr>
          <w:rFonts w:ascii="Arial" w:hAnsi="Arial" w:cs="Arial"/>
          <w:sz w:val="24"/>
          <w:szCs w:val="24"/>
          <w:lang w:val="pt-BR"/>
        </w:rPr>
        <w:t xml:space="preserve">Cláudia Ap. Monteiro dos </w:t>
      </w:r>
      <w:proofErr w:type="gramStart"/>
      <w:r w:rsidRPr="00DC3EFC">
        <w:rPr>
          <w:rFonts w:ascii="Arial" w:hAnsi="Arial" w:cs="Arial"/>
          <w:sz w:val="24"/>
          <w:szCs w:val="24"/>
          <w:lang w:val="pt-BR"/>
        </w:rPr>
        <w:t>Santos                                      Daniel Fernando</w:t>
      </w:r>
      <w:proofErr w:type="gramEnd"/>
      <w:r w:rsidRPr="00DC3EFC">
        <w:rPr>
          <w:rFonts w:ascii="Arial" w:hAnsi="Arial" w:cs="Arial"/>
          <w:sz w:val="24"/>
          <w:szCs w:val="24"/>
          <w:lang w:val="pt-BR"/>
        </w:rPr>
        <w:t xml:space="preserve"> da Silva</w:t>
      </w:r>
    </w:p>
    <w:p w14:paraId="20B0915B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  <w:r w:rsidRPr="00DC3EFC">
        <w:rPr>
          <w:rFonts w:ascii="Arial" w:hAnsi="Arial" w:cs="Arial"/>
          <w:sz w:val="24"/>
          <w:szCs w:val="24"/>
          <w:lang w:val="pt-BR"/>
        </w:rPr>
        <w:t xml:space="preserve">                  Membro                                                                           </w:t>
      </w:r>
      <w:proofErr w:type="spellStart"/>
      <w:r w:rsidRPr="00DC3EFC">
        <w:rPr>
          <w:rFonts w:ascii="Arial" w:hAnsi="Arial" w:cs="Arial"/>
          <w:sz w:val="24"/>
          <w:szCs w:val="24"/>
          <w:lang w:val="pt-BR"/>
        </w:rPr>
        <w:t>Membro</w:t>
      </w:r>
      <w:proofErr w:type="spellEnd"/>
    </w:p>
    <w:p w14:paraId="30C50782" w14:textId="77777777" w:rsidR="00DC3EFC" w:rsidRPr="00DC3EFC" w:rsidRDefault="00DC3EFC" w:rsidP="00DC3EFC">
      <w:pPr>
        <w:pStyle w:val="SemEspaamento"/>
        <w:jc w:val="center"/>
        <w:rPr>
          <w:rFonts w:ascii="Arial" w:hAnsi="Arial" w:cs="Arial"/>
          <w:sz w:val="24"/>
          <w:szCs w:val="24"/>
          <w:lang w:val="pt-BR"/>
        </w:rPr>
      </w:pPr>
    </w:p>
    <w:p w14:paraId="11BDC997" w14:textId="77777777" w:rsidR="00DC3EFC" w:rsidRPr="00DC3EFC" w:rsidRDefault="00DC3EFC" w:rsidP="00DC3EFC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14:paraId="2D7F6820" w14:textId="77777777" w:rsidR="00DC3EFC" w:rsidRPr="000F4B88" w:rsidRDefault="00DC3EFC" w:rsidP="00DC3EFC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</w:p>
    <w:p w14:paraId="40C140A3" w14:textId="77777777" w:rsidR="00DC3EFC" w:rsidRPr="00DC3EFC" w:rsidRDefault="00DC3EFC" w:rsidP="00DC3EFC">
      <w:pPr>
        <w:jc w:val="both"/>
        <w:rPr>
          <w:rFonts w:ascii="Arial" w:hAnsi="Arial" w:cs="Arial"/>
          <w:sz w:val="24"/>
          <w:szCs w:val="24"/>
        </w:rPr>
      </w:pPr>
    </w:p>
    <w:p w14:paraId="01DA2107" w14:textId="188AA76D" w:rsidR="00330475" w:rsidRPr="00DC3EFC" w:rsidRDefault="000D53E0" w:rsidP="00E3768E">
      <w:pPr>
        <w:rPr>
          <w:rFonts w:ascii="Arial" w:hAnsi="Arial" w:cs="Arial"/>
          <w:sz w:val="24"/>
          <w:szCs w:val="24"/>
        </w:rPr>
      </w:pPr>
      <w:r w:rsidRPr="00DC3EFC">
        <w:rPr>
          <w:rFonts w:ascii="Arial" w:hAnsi="Arial" w:cs="Arial"/>
          <w:sz w:val="24"/>
          <w:szCs w:val="24"/>
        </w:rPr>
        <w:t xml:space="preserve"> </w:t>
      </w:r>
      <w:bookmarkEnd w:id="0"/>
    </w:p>
    <w:sectPr w:rsidR="00330475" w:rsidRPr="00DC3EFC" w:rsidSect="00DC3E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E94E59" w14:textId="77777777" w:rsidR="00AE38A1" w:rsidRDefault="00AE38A1" w:rsidP="00AE38A1">
      <w:pPr>
        <w:spacing w:after="0" w:line="240" w:lineRule="auto"/>
      </w:pPr>
      <w:r>
        <w:separator/>
      </w:r>
    </w:p>
  </w:endnote>
  <w:endnote w:type="continuationSeparator" w:id="0">
    <w:p w14:paraId="790945C6" w14:textId="77777777" w:rsidR="00AE38A1" w:rsidRDefault="00AE38A1" w:rsidP="00AE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3D670E" w14:textId="77777777" w:rsidR="006B11D8" w:rsidRDefault="006B11D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F7819" w14:textId="0CD7D499" w:rsidR="00AC2144" w:rsidRDefault="006B11D8" w:rsidP="006B11D8">
    <w:pPr>
      <w:jc w:val="center"/>
    </w:pPr>
    <w:r>
      <w:rPr>
        <w:rFonts w:cstheme="minorHAnsi"/>
        <w:b/>
        <w:color w:val="17365D" w:themeColor="text2" w:themeShade="BF"/>
        <w:sz w:val="20"/>
        <w:szCs w:val="20"/>
      </w:rPr>
      <w:br/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>Rua Monsenhor Pinheiro, 101 – Centro –</w:t>
    </w:r>
    <w:r>
      <w:rPr>
        <w:rFonts w:cstheme="minorHAnsi"/>
        <w:b/>
        <w:color w:val="17365D" w:themeColor="text2" w:themeShade="BF"/>
        <w:sz w:val="20"/>
        <w:szCs w:val="20"/>
      </w:rPr>
      <w:t xml:space="preserve"> </w:t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 xml:space="preserve">Guanhães – MG – </w:t>
    </w:r>
    <w:r w:rsidRPr="00507063">
      <w:rPr>
        <w:rFonts w:cstheme="minorHAnsi"/>
        <w:b/>
        <w:color w:val="17365D" w:themeColor="text2" w:themeShade="BF"/>
        <w:sz w:val="20"/>
        <w:szCs w:val="20"/>
      </w:rPr>
      <w:t xml:space="preserve">39740-000 – site: </w:t>
    </w:r>
    <w:proofErr w:type="gramStart"/>
    <w:r w:rsidRPr="00507063">
      <w:rPr>
        <w:rFonts w:cstheme="minorHAnsi"/>
        <w:b/>
        <w:color w:val="17365D" w:themeColor="text2" w:themeShade="BF"/>
        <w:sz w:val="20"/>
        <w:szCs w:val="20"/>
      </w:rPr>
      <w:t>guanhaesprev.</w:t>
    </w:r>
    <w:proofErr w:type="gramEnd"/>
    <w:r w:rsidRPr="00507063">
      <w:rPr>
        <w:rFonts w:cstheme="minorHAnsi"/>
        <w:b/>
        <w:color w:val="17365D" w:themeColor="text2" w:themeShade="BF"/>
        <w:sz w:val="20"/>
        <w:szCs w:val="20"/>
      </w:rPr>
      <w:t>mg.gov.br</w:t>
    </w:r>
    <w:r>
      <w:rPr>
        <w:rFonts w:cstheme="minorHAnsi"/>
        <w:b/>
        <w:color w:val="17365D" w:themeColor="text2" w:themeShade="BF"/>
        <w:sz w:val="20"/>
        <w:szCs w:val="20"/>
      </w:rPr>
      <w:t xml:space="preserve"> </w:t>
    </w:r>
    <w:r>
      <w:rPr>
        <w:rFonts w:cstheme="minorHAnsi"/>
        <w:b/>
        <w:color w:val="17365D" w:themeColor="text2" w:themeShade="BF"/>
        <w:sz w:val="20"/>
        <w:szCs w:val="20"/>
      </w:rPr>
      <w:br/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>Tel.: (33) 3421-5576</w:t>
    </w:r>
    <w:r w:rsidR="00AC2144">
      <w:rPr>
        <w:rFonts w:cstheme="minorHAnsi"/>
        <w:b/>
        <w:color w:val="17365D" w:themeColor="text2" w:themeShade="BF"/>
        <w:sz w:val="20"/>
        <w:szCs w:val="20"/>
      </w:rPr>
      <w:t xml:space="preserve"> – </w:t>
    </w:r>
    <w:proofErr w:type="spellStart"/>
    <w:r w:rsidR="00AC2144">
      <w:rPr>
        <w:rFonts w:cstheme="minorHAnsi"/>
        <w:b/>
        <w:color w:val="17365D" w:themeColor="text2" w:themeShade="BF"/>
        <w:sz w:val="20"/>
        <w:szCs w:val="20"/>
      </w:rPr>
      <w:t>WhatsApp</w:t>
    </w:r>
    <w:proofErr w:type="spellEnd"/>
    <w:r w:rsidR="00AC2144">
      <w:rPr>
        <w:rFonts w:cstheme="minorHAnsi"/>
        <w:b/>
        <w:color w:val="17365D" w:themeColor="text2" w:themeShade="BF"/>
        <w:sz w:val="20"/>
        <w:szCs w:val="20"/>
      </w:rPr>
      <w:t xml:space="preserve"> (33) 3421-5309</w:t>
    </w:r>
    <w:r>
      <w:rPr>
        <w:rFonts w:cstheme="minorHAnsi"/>
        <w:b/>
        <w:color w:val="17365D" w:themeColor="text2" w:themeShade="BF"/>
        <w:sz w:val="20"/>
        <w:szCs w:val="20"/>
      </w:rPr>
      <w:t xml:space="preserve"> - </w:t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 xml:space="preserve">e-mail: </w:t>
    </w:r>
    <w:hyperlink r:id="rId1" w:history="1">
      <w:r w:rsidRPr="005E2774">
        <w:rPr>
          <w:rStyle w:val="Hyperlink"/>
          <w:rFonts w:cstheme="minorHAnsi"/>
          <w:b/>
          <w:sz w:val="20"/>
          <w:szCs w:val="20"/>
        </w:rPr>
        <w:t>rpps@guanhaesprev.mg.gov.br</w:t>
      </w:r>
    </w:hyperlink>
    <w:r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B4435" w14:textId="77777777" w:rsidR="006B11D8" w:rsidRDefault="006B11D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11589" w14:textId="77777777" w:rsidR="00AE38A1" w:rsidRDefault="00AE38A1" w:rsidP="00AE38A1">
      <w:pPr>
        <w:spacing w:after="0" w:line="240" w:lineRule="auto"/>
      </w:pPr>
      <w:r>
        <w:separator/>
      </w:r>
    </w:p>
  </w:footnote>
  <w:footnote w:type="continuationSeparator" w:id="0">
    <w:p w14:paraId="29047E70" w14:textId="77777777" w:rsidR="00AE38A1" w:rsidRDefault="00AE38A1" w:rsidP="00AE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4CD35C" w14:textId="1F251A1E" w:rsidR="00AE38A1" w:rsidRDefault="00A1698B">
    <w:pPr>
      <w:pStyle w:val="Cabealho"/>
    </w:pPr>
    <w:r>
      <w:rPr>
        <w:noProof/>
      </w:rPr>
      <w:pict w14:anchorId="6D67C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2050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8269F" w14:textId="72282395" w:rsidR="00AE38A1" w:rsidRDefault="00AC2144" w:rsidP="00AC2144">
    <w:pPr>
      <w:ind w:left="3119" w:hanging="425"/>
      <w:jc w:val="center"/>
    </w:pPr>
    <w:bookmarkStart w:id="2" w:name="_Hlk126065799"/>
    <w:r w:rsidRPr="00BF77EC">
      <w:rPr>
        <w:noProof/>
        <w:sz w:val="28"/>
        <w:szCs w:val="28"/>
        <w:lang w:eastAsia="pt-BR"/>
      </w:rPr>
      <w:drawing>
        <wp:anchor distT="0" distB="0" distL="114300" distR="114300" simplePos="0" relativeHeight="251668480" behindDoc="1" locked="0" layoutInCell="1" allowOverlap="1" wp14:anchorId="107D7129" wp14:editId="376AE286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1523843418" name="Imagem 1523843418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7EC">
      <w:rPr>
        <w:b/>
        <w:sz w:val="28"/>
        <w:szCs w:val="28"/>
      </w:rPr>
      <w:t xml:space="preserve">     </w:t>
    </w:r>
    <w:r w:rsidRPr="005E5F49">
      <w:rPr>
        <w:b/>
        <w:i/>
        <w:iCs/>
        <w:sz w:val="28"/>
        <w:szCs w:val="28"/>
        <w:u w:val="single"/>
      </w:rPr>
      <w:t>INSTITUTO DE PREVIDÊNCIA DOS SERVIDORES PÚBLICOS</w:t>
    </w:r>
    <w:proofErr w:type="gramStart"/>
    <w:r w:rsidRPr="005E5F49">
      <w:rPr>
        <w:b/>
        <w:i/>
        <w:iCs/>
        <w:sz w:val="28"/>
        <w:szCs w:val="28"/>
        <w:u w:val="single"/>
      </w:rPr>
      <w:t xml:space="preserve">   </w:t>
    </w:r>
    <w:proofErr w:type="gramEnd"/>
    <w:r w:rsidRPr="005E5F49">
      <w:rPr>
        <w:b/>
        <w:i/>
        <w:iCs/>
        <w:sz w:val="28"/>
        <w:szCs w:val="28"/>
        <w:u w:val="single"/>
      </w:rPr>
      <w:br/>
      <w:t>DO MUNICÍPIO DE GUANHÃES</w:t>
    </w:r>
    <w:r w:rsidRPr="005E5F49">
      <w:rPr>
        <w:b/>
        <w:i/>
        <w:iCs/>
        <w:sz w:val="28"/>
        <w:szCs w:val="28"/>
      </w:rPr>
      <w:t>-</w:t>
    </w:r>
    <w:r w:rsidRPr="005E5F49">
      <w:rPr>
        <w:b/>
        <w:i/>
        <w:iCs/>
        <w:sz w:val="28"/>
        <w:szCs w:val="28"/>
        <w:u w:val="single"/>
      </w:rPr>
      <w:t>GUANHÃESPREV</w:t>
    </w:r>
    <w:r w:rsidRPr="005E5F49">
      <w:rPr>
        <w:b/>
        <w:i/>
        <w:iCs/>
        <w:sz w:val="28"/>
        <w:szCs w:val="28"/>
        <w:u w:val="single"/>
      </w:rPr>
      <w:br/>
      <w:t>CNPJ: 05.518.895/0001-74</w:t>
    </w:r>
    <w:bookmarkEnd w:id="2"/>
    <w:r w:rsidR="00A1698B">
      <w:rPr>
        <w:noProof/>
      </w:rPr>
      <w:pict w14:anchorId="62FB1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2051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FD80C" w14:textId="3CE92D64" w:rsidR="00AE38A1" w:rsidRDefault="00A1698B">
    <w:pPr>
      <w:pStyle w:val="Cabealho"/>
    </w:pPr>
    <w:r>
      <w:rPr>
        <w:noProof/>
      </w:rPr>
      <w:pict w14:anchorId="587F1A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2049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3B"/>
    <w:rsid w:val="00030786"/>
    <w:rsid w:val="000D0CC5"/>
    <w:rsid w:val="000D53E0"/>
    <w:rsid w:val="001662C9"/>
    <w:rsid w:val="001A25CF"/>
    <w:rsid w:val="00323358"/>
    <w:rsid w:val="00330475"/>
    <w:rsid w:val="003F6D65"/>
    <w:rsid w:val="004219A3"/>
    <w:rsid w:val="00441214"/>
    <w:rsid w:val="004B4FFC"/>
    <w:rsid w:val="00572B3B"/>
    <w:rsid w:val="00574D6F"/>
    <w:rsid w:val="00594F05"/>
    <w:rsid w:val="005E5F49"/>
    <w:rsid w:val="00646FDF"/>
    <w:rsid w:val="0067285F"/>
    <w:rsid w:val="00683875"/>
    <w:rsid w:val="006B11D8"/>
    <w:rsid w:val="007E24A2"/>
    <w:rsid w:val="007E76D8"/>
    <w:rsid w:val="008253E8"/>
    <w:rsid w:val="008766CE"/>
    <w:rsid w:val="008F28B9"/>
    <w:rsid w:val="00921A1C"/>
    <w:rsid w:val="00954710"/>
    <w:rsid w:val="009832CF"/>
    <w:rsid w:val="00A1698B"/>
    <w:rsid w:val="00A77661"/>
    <w:rsid w:val="00A8590F"/>
    <w:rsid w:val="00AC2144"/>
    <w:rsid w:val="00AE3618"/>
    <w:rsid w:val="00AE38A1"/>
    <w:rsid w:val="00B10C43"/>
    <w:rsid w:val="00B132A1"/>
    <w:rsid w:val="00BF77EC"/>
    <w:rsid w:val="00C72B68"/>
    <w:rsid w:val="00D25F84"/>
    <w:rsid w:val="00D834D3"/>
    <w:rsid w:val="00D87AB9"/>
    <w:rsid w:val="00DC3EFC"/>
    <w:rsid w:val="00DE38D4"/>
    <w:rsid w:val="00E14B77"/>
    <w:rsid w:val="00E217F9"/>
    <w:rsid w:val="00E3768E"/>
    <w:rsid w:val="00EA17D8"/>
    <w:rsid w:val="00EB508A"/>
    <w:rsid w:val="00FC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0E6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customStyle="1" w:styleId="UnresolvedMention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DC3EFC"/>
    <w:pPr>
      <w:spacing w:after="0" w:line="240" w:lineRule="auto"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customStyle="1" w:styleId="UnresolvedMention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DC3EFC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pps@guanhaesprev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664C0-B95B-41F0-901D-CA0499E42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1329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2025-12-18T14:02:00Z</cp:lastPrinted>
  <dcterms:created xsi:type="dcterms:W3CDTF">2026-01-20T17:54:00Z</dcterms:created>
  <dcterms:modified xsi:type="dcterms:W3CDTF">2026-01-20T18:43:00Z</dcterms:modified>
</cp:coreProperties>
</file>